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2" w:rsidRPr="006A6007" w:rsidRDefault="00087F52" w:rsidP="00087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087F52" w:rsidRPr="006A6007" w:rsidRDefault="00087F52" w:rsidP="00087F52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2020</w:t>
      </w:r>
      <w:r w:rsidRPr="006A6007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E45FC4">
        <w:rPr>
          <w:rFonts w:ascii="Times New Roman" w:hAnsi="Times New Roman" w:cs="Times New Roman"/>
          <w:sz w:val="24"/>
          <w:szCs w:val="24"/>
        </w:rPr>
        <w:t xml:space="preserve">  </w:t>
      </w:r>
      <w:r w:rsidRPr="006A6007">
        <w:rPr>
          <w:rFonts w:ascii="Times New Roman" w:hAnsi="Times New Roman" w:cs="Times New Roman"/>
          <w:sz w:val="24"/>
          <w:szCs w:val="24"/>
        </w:rPr>
        <w:t xml:space="preserve"> №</w:t>
      </w:r>
      <w:r w:rsidR="00E45FC4">
        <w:rPr>
          <w:rFonts w:ascii="Times New Roman" w:hAnsi="Times New Roman" w:cs="Times New Roman"/>
          <w:sz w:val="24"/>
          <w:szCs w:val="24"/>
        </w:rPr>
        <w:t xml:space="preserve"> </w:t>
      </w:r>
      <w:r w:rsidR="00E41BA5">
        <w:rPr>
          <w:rFonts w:ascii="Times New Roman" w:hAnsi="Times New Roman" w:cs="Times New Roman"/>
          <w:sz w:val="24"/>
          <w:szCs w:val="24"/>
        </w:rPr>
        <w:t>64</w:t>
      </w:r>
      <w:r w:rsidRPr="006A60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5FC4">
        <w:rPr>
          <w:rFonts w:ascii="Times New Roman" w:hAnsi="Times New Roman" w:cs="Times New Roman"/>
          <w:sz w:val="24"/>
          <w:szCs w:val="24"/>
        </w:rPr>
        <w:t xml:space="preserve">     </w:t>
      </w:r>
      <w:r w:rsidRPr="006A600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A600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б обеспеченности кадрами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в</w:t>
      </w:r>
      <w:proofErr w:type="gramEnd"/>
    </w:p>
    <w:p w:rsidR="00087F52" w:rsidRDefault="00E45FC4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</w:t>
      </w:r>
      <w:r w:rsidR="00087F5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бразовательных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proofErr w:type="gramStart"/>
      <w:r w:rsidR="00087F5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организациях</w:t>
      </w:r>
      <w:proofErr w:type="gramEnd"/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87F52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F52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 Устава муниципального образования «Нукутский район», Дума</w:t>
      </w:r>
    </w:p>
    <w:p w:rsidR="00087F52" w:rsidRPr="006A6007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087F52" w:rsidRDefault="00087F52" w:rsidP="00087F52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директора МКУ «Центр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района» </w:t>
      </w:r>
      <w:proofErr w:type="spellStart"/>
      <w:r w:rsidR="00E41BA5">
        <w:rPr>
          <w:rFonts w:ascii="Times New Roman" w:eastAsia="Calibri" w:hAnsi="Times New Roman" w:cs="Times New Roman"/>
          <w:sz w:val="24"/>
          <w:szCs w:val="24"/>
          <w:lang w:bidi="en-US"/>
        </w:rPr>
        <w:t>А.П.Тапхаровой</w:t>
      </w:r>
      <w:proofErr w:type="spellEnd"/>
      <w:r w:rsidR="00E45F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«О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б обеспеченности кадрами в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организациях муниципального образования «Нукутский район»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принять к сведению (прилагается).</w:t>
      </w:r>
    </w:p>
    <w:p w:rsidR="00087F52" w:rsidRPr="006A6007" w:rsidRDefault="00E41BA5" w:rsidP="00087F52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87F52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</w:t>
      </w:r>
      <w:r w:rsidR="00E45F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45F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К.М.Баторов</w:t>
      </w:r>
      <w:proofErr w:type="spellEnd"/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A5" w:rsidRDefault="00E41BA5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41BA5" w:rsidRDefault="00E41BA5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41BA5" w:rsidRDefault="00E41BA5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41BA5" w:rsidRDefault="00E41BA5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41BA5" w:rsidRDefault="00E41BA5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D3433" w:rsidRPr="001D3433" w:rsidRDefault="001D3433" w:rsidP="001D3433">
      <w:pPr>
        <w:keepNext/>
        <w:keepLines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3433" w:rsidRPr="001D3433" w:rsidRDefault="001D3433" w:rsidP="001D3433">
      <w:pPr>
        <w:keepNext/>
        <w:keepLines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1D3433" w:rsidRPr="001D3433" w:rsidRDefault="001D3433" w:rsidP="001D3433">
      <w:pPr>
        <w:keepNext/>
        <w:keepLines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1D3433" w:rsidRPr="001D3433" w:rsidRDefault="001D3433" w:rsidP="001D3433">
      <w:pPr>
        <w:keepNext/>
        <w:keepLines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433">
        <w:rPr>
          <w:rFonts w:ascii="Times New Roman" w:hAnsi="Times New Roman" w:cs="Times New Roman"/>
          <w:sz w:val="24"/>
          <w:szCs w:val="24"/>
        </w:rPr>
        <w:t>от 25.09.2020 № 64</w:t>
      </w:r>
    </w:p>
    <w:p w:rsidR="001D3433" w:rsidRDefault="001D3433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33" w:rsidRDefault="001D3433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33" w:rsidRDefault="001D3433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33" w:rsidRDefault="001D3433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21" w:rsidRDefault="00B57621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984189" w:rsidRPr="00984189">
        <w:rPr>
          <w:rFonts w:ascii="Times New Roman" w:hAnsi="Times New Roman" w:cs="Times New Roman"/>
          <w:b/>
          <w:sz w:val="24"/>
          <w:szCs w:val="24"/>
        </w:rPr>
        <w:t>беспеченност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84189" w:rsidRPr="00984189">
        <w:rPr>
          <w:rFonts w:ascii="Times New Roman" w:hAnsi="Times New Roman" w:cs="Times New Roman"/>
          <w:b/>
          <w:sz w:val="24"/>
          <w:szCs w:val="24"/>
        </w:rPr>
        <w:t xml:space="preserve"> кадрами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 </w:t>
      </w:r>
    </w:p>
    <w:p w:rsidR="00984189" w:rsidRDefault="00E45FC4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57621">
        <w:rPr>
          <w:rFonts w:ascii="Times New Roman" w:hAnsi="Times New Roman" w:cs="Times New Roman"/>
          <w:b/>
          <w:sz w:val="24"/>
          <w:szCs w:val="24"/>
        </w:rPr>
        <w:t>униципального образования «</w:t>
      </w:r>
      <w:proofErr w:type="spellStart"/>
      <w:r w:rsidR="00B5762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B5762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45FC4" w:rsidRDefault="00E45FC4" w:rsidP="00984189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189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района работают 996 чел., из них руководящих работников – 84, педагогических работников – 394: в школах - 272, в </w:t>
      </w:r>
      <w:r w:rsidR="00B57621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организациях </w:t>
      </w:r>
      <w:r w:rsidRPr="00984189">
        <w:rPr>
          <w:rFonts w:ascii="Times New Roman" w:hAnsi="Times New Roman" w:cs="Times New Roman"/>
          <w:sz w:val="24"/>
          <w:szCs w:val="24"/>
        </w:rPr>
        <w:t xml:space="preserve">- 87, в учреждениях дополнительного образования - 35. </w:t>
      </w:r>
    </w:p>
    <w:p w:rsidR="00B57621" w:rsidRPr="00984189" w:rsidRDefault="00B57621" w:rsidP="00984189">
      <w:pPr>
        <w:keepNext/>
        <w:keepLines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6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1362"/>
        <w:gridCol w:w="1509"/>
        <w:gridCol w:w="1418"/>
        <w:gridCol w:w="1609"/>
        <w:gridCol w:w="1559"/>
      </w:tblGrid>
      <w:tr w:rsidR="00984189" w:rsidRPr="00984189" w:rsidTr="00E45FC4">
        <w:trPr>
          <w:trHeight w:val="385"/>
          <w:jc w:val="center"/>
        </w:trPr>
        <w:tc>
          <w:tcPr>
            <w:tcW w:w="1789" w:type="dxa"/>
            <w:vMerge w:val="restart"/>
          </w:tcPr>
          <w:p w:rsidR="00984189" w:rsidRPr="00636BA1" w:rsidRDefault="00636BA1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разовательные организации</w:t>
            </w:r>
          </w:p>
        </w:tc>
        <w:tc>
          <w:tcPr>
            <w:tcW w:w="1362" w:type="dxa"/>
            <w:vMerge w:val="restart"/>
          </w:tcPr>
          <w:p w:rsidR="00984189" w:rsidRPr="00B57621" w:rsidRDefault="00B57621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509" w:type="dxa"/>
            <w:vMerge w:val="restart"/>
          </w:tcPr>
          <w:p w:rsidR="00984189" w:rsidRPr="00B57621" w:rsidRDefault="00984189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Кроме того, числ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 xml:space="preserve">енность </w:t>
            </w: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естителей</w:t>
            </w:r>
          </w:p>
        </w:tc>
        <w:tc>
          <w:tcPr>
            <w:tcW w:w="1418" w:type="dxa"/>
            <w:vMerge w:val="restart"/>
          </w:tcPr>
          <w:p w:rsidR="00984189" w:rsidRPr="00B57621" w:rsidRDefault="00B57621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ящих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3168" w:type="dxa"/>
            <w:gridSpan w:val="2"/>
          </w:tcPr>
          <w:p w:rsidR="00636BA1" w:rsidRDefault="00636BA1" w:rsidP="00B57621">
            <w:pPr>
              <w:keepNext/>
              <w:keepLines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984189" w:rsidRPr="00B57621" w:rsidRDefault="00E45FC4" w:rsidP="00B57621">
            <w:pPr>
              <w:keepNext/>
              <w:keepLines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984189" w:rsidRPr="00984189" w:rsidTr="00E45FC4">
        <w:trPr>
          <w:trHeight w:val="703"/>
          <w:jc w:val="center"/>
        </w:trPr>
        <w:tc>
          <w:tcPr>
            <w:tcW w:w="1789" w:type="dxa"/>
            <w:vMerge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984189" w:rsidRPr="00B57621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84189" w:rsidRPr="00B57621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4189" w:rsidRPr="00B57621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84189" w:rsidRPr="00B57621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</w:p>
          <w:p w:rsidR="00B57621" w:rsidRDefault="00B57621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4189" w:rsidRPr="00B57621">
              <w:rPr>
                <w:rFonts w:ascii="Times New Roman" w:hAnsi="Times New Roman" w:cs="Times New Roman"/>
                <w:sz w:val="20"/>
                <w:szCs w:val="20"/>
              </w:rPr>
              <w:t>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огических</w:t>
            </w:r>
          </w:p>
          <w:p w:rsidR="00984189" w:rsidRPr="00B57621" w:rsidRDefault="00984189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отников</w:t>
            </w:r>
          </w:p>
        </w:tc>
        <w:tc>
          <w:tcPr>
            <w:tcW w:w="1559" w:type="dxa"/>
          </w:tcPr>
          <w:p w:rsidR="00B57621" w:rsidRDefault="00984189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роме</w:t>
            </w: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 xml:space="preserve"> того, числ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</w:p>
          <w:p w:rsidR="00984189" w:rsidRPr="00B57621" w:rsidRDefault="00984189" w:rsidP="00B57621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B57621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B57621">
              <w:rPr>
                <w:rFonts w:ascii="Times New Roman" w:hAnsi="Times New Roman" w:cs="Times New Roman"/>
                <w:sz w:val="20"/>
                <w:szCs w:val="20"/>
              </w:rPr>
              <w:t>естителей</w:t>
            </w:r>
          </w:p>
        </w:tc>
      </w:tr>
      <w:tr w:rsidR="00984189" w:rsidRPr="00984189" w:rsidTr="00E45FC4">
        <w:trPr>
          <w:jc w:val="center"/>
        </w:trPr>
        <w:tc>
          <w:tcPr>
            <w:tcW w:w="1789" w:type="dxa"/>
          </w:tcPr>
          <w:p w:rsidR="00984189" w:rsidRPr="00636BA1" w:rsidRDefault="00636BA1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A1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362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5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84189" w:rsidRPr="00984189" w:rsidTr="00E45FC4">
        <w:trPr>
          <w:jc w:val="center"/>
        </w:trPr>
        <w:tc>
          <w:tcPr>
            <w:tcW w:w="1789" w:type="dxa"/>
          </w:tcPr>
          <w:p w:rsidR="00984189" w:rsidRPr="00636BA1" w:rsidRDefault="00984189" w:rsidP="00636BA1">
            <w:pPr>
              <w:keepNext/>
              <w:keepLine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6BA1">
              <w:rPr>
                <w:rFonts w:ascii="Times New Roman" w:hAnsi="Times New Roman" w:cs="Times New Roman"/>
                <w:sz w:val="20"/>
                <w:szCs w:val="20"/>
              </w:rPr>
              <w:t>етские сады</w:t>
            </w:r>
          </w:p>
        </w:tc>
        <w:tc>
          <w:tcPr>
            <w:tcW w:w="1362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4189" w:rsidRPr="00984189" w:rsidTr="00E45FC4">
        <w:trPr>
          <w:jc w:val="center"/>
        </w:trPr>
        <w:tc>
          <w:tcPr>
            <w:tcW w:w="1789" w:type="dxa"/>
          </w:tcPr>
          <w:p w:rsidR="00984189" w:rsidRPr="00636BA1" w:rsidRDefault="00984189" w:rsidP="00636BA1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="0063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ополнительное образование</w:t>
            </w:r>
          </w:p>
        </w:tc>
        <w:tc>
          <w:tcPr>
            <w:tcW w:w="1362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4189" w:rsidRPr="00984189" w:rsidTr="00E45FC4">
        <w:trPr>
          <w:jc w:val="center"/>
        </w:trPr>
        <w:tc>
          <w:tcPr>
            <w:tcW w:w="1789" w:type="dxa"/>
          </w:tcPr>
          <w:p w:rsidR="00984189" w:rsidRPr="00636BA1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62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996 (+81=1077)</w:t>
            </w:r>
          </w:p>
        </w:tc>
        <w:tc>
          <w:tcPr>
            <w:tcW w:w="15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0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</w:tcPr>
          <w:p w:rsidR="00984189" w:rsidRPr="00E45FC4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984189" w:rsidRPr="00984189" w:rsidRDefault="00984189" w:rsidP="00984189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 педагогических работников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до 25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4,8%, 25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9,6%, 30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12,9%, 35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8,5%, 40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9,9%, 45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49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13,6%, 50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54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11,8%, 55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59 лет – 14,3%,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64 лет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8,82%, 65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более – 5,9%. </w:t>
      </w:r>
    </w:p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 до 35 лет – 27,21% (в 2018 г. - 25,98%). Средний возраст педагогов – 46 лет.</w:t>
      </w:r>
    </w:p>
    <w:p w:rsid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имеют педагогического стажа 5 чел. (1,84%). Количество педагогов со стажем работы до 5 лет составляет 12,5%, от 5 до 20 лет – 34,93%. Высок </w:t>
      </w:r>
      <w:r w:rsidR="00636BA1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педагогов со стажем свыше 20 лет – 50,74%.</w:t>
      </w:r>
    </w:p>
    <w:p w:rsidR="00E45FC4" w:rsidRPr="00984189" w:rsidRDefault="00E45FC4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2801"/>
        <w:gridCol w:w="3012"/>
      </w:tblGrid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B848F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пед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агогической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801" w:type="dxa"/>
          </w:tcPr>
          <w:p w:rsidR="00984189" w:rsidRPr="00984189" w:rsidRDefault="00984189" w:rsidP="00B848F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уч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012" w:type="dxa"/>
          </w:tcPr>
          <w:p w:rsidR="00984189" w:rsidRPr="00984189" w:rsidRDefault="00984189" w:rsidP="00B848F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уч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6,52%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6,25%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6,16%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6,25%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16,30%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14,34%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7,25%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9,56%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11,23%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11,03%</w:t>
            </w:r>
          </w:p>
        </w:tc>
      </w:tr>
      <w:tr w:rsidR="00984189" w:rsidRPr="00984189" w:rsidTr="00B848F4">
        <w:trPr>
          <w:jc w:val="center"/>
        </w:trPr>
        <w:tc>
          <w:tcPr>
            <w:tcW w:w="3330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801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50,36%</w:t>
            </w:r>
          </w:p>
        </w:tc>
        <w:tc>
          <w:tcPr>
            <w:tcW w:w="301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50,74%</w:t>
            </w:r>
          </w:p>
        </w:tc>
      </w:tr>
    </w:tbl>
    <w:p w:rsidR="001D3433" w:rsidRDefault="001D3433" w:rsidP="001D3433">
      <w:pPr>
        <w:keepNext/>
        <w:keepLines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3433" w:rsidRDefault="00984189" w:rsidP="001D3433">
      <w:pPr>
        <w:keepNext/>
        <w:keepLines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87 </w:t>
      </w:r>
      <w:r w:rsidRPr="00984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педагогических работников </w:t>
      </w:r>
      <w:r w:rsidR="00B848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дошкольного образования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высшее образование 38 чел. – 43,67% (2018 г. - 43,33%, 2017 г. – 37,5%), из них педагогическое – 29 чел. (33,3%), среднее профессиональное – 47 (54,02%), из них педагогическое – 42 чел. (48,28%). Имеют </w:t>
      </w:r>
      <w:proofErr w:type="gram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высшую</w:t>
      </w:r>
      <w:proofErr w:type="gram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 квалификационные категории 23 педагога (26,45%).</w:t>
      </w:r>
    </w:p>
    <w:p w:rsidR="00984189" w:rsidRPr="00984189" w:rsidRDefault="001D3433" w:rsidP="00E45FC4">
      <w:pPr>
        <w:keepNext/>
        <w:keepLines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району среди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дошкольных образовательных организаций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педагогических работников, имеющих высшее образование в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Р-Мельхитуйском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Тангутском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66,67%,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Новонукутский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№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– 55,56%,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Новонукутский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№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– 52,94%, в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Шаратском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gram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50%,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Хадаханском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–44,44%,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Ункурликском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– 33,33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Новоленинском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Харетском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25%; не имеют высшее образование педагогические работники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Алтарикского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Закулейского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Первомайского</w:t>
      </w:r>
      <w:proofErr w:type="gram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Верхне-Куйтинского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Зунгарского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детских садов.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ысшую</w:t>
      </w:r>
      <w:proofErr w:type="gram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 квалификационные категории из 15 детских садов имеют педагогические работники только 7 учреждений: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Хадаханского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–</w:t>
      </w:r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55,6%,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Новоленинского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Первомайского</w:t>
      </w:r>
      <w:proofErr w:type="gram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50%,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№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– 47,1%,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Тангутского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–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33,3%, </w:t>
      </w:r>
      <w:proofErr w:type="spellStart"/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Закулейск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proofErr w:type="spellEnd"/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/с – 25%</w:t>
      </w:r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Новонукутского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/с №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6 – 18,52%. Во всех остальных садах нет педагогов, имеющих высшую и 1 кв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алификационную </w:t>
      </w:r>
      <w:r w:rsidR="00984189"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категории.</w:t>
      </w:r>
    </w:p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14 </w:t>
      </w:r>
      <w:proofErr w:type="gram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заведующих</w:t>
      </w:r>
      <w:proofErr w:type="gramEnd"/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дошкольных образовательных организаций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высшее образование 12 (85,71%), среднее профессиональное – 2 (14,29%). Из 3 заместителей заведующих имеют высшее образование 2 заместителя, среднее общее образование - 1. </w:t>
      </w:r>
    </w:p>
    <w:p w:rsid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: до 25 лет – 2,22%, 25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29 лет – 11,1%, 30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лет – 17,8%,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39 лет – 23,3%, 40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44 лет – 8,89%, 45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49 лет – 14,4%, 50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54 лет – 10%, 55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59 лет – 4,44%, 60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64 лет – 3,33%, 65 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и более – 1,11%. Средний возраст педагогов – 41,8 г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ода.</w:t>
      </w:r>
    </w:p>
    <w:p w:rsidR="00B848F4" w:rsidRPr="00984189" w:rsidRDefault="00B848F4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944"/>
        <w:gridCol w:w="3082"/>
      </w:tblGrid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2944" w:type="dxa"/>
          </w:tcPr>
          <w:p w:rsidR="00984189" w:rsidRPr="00984189" w:rsidRDefault="00984189" w:rsidP="00B848F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уч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82" w:type="dxa"/>
          </w:tcPr>
          <w:p w:rsidR="00984189" w:rsidRPr="00984189" w:rsidRDefault="00984189" w:rsidP="00B848F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уч</w:t>
            </w:r>
            <w:r w:rsidR="00B84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8,89%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14,44%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6,67%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24,4%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23,3%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12,2%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7,78%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</w:tr>
      <w:tr w:rsidR="00984189" w:rsidRPr="00984189" w:rsidTr="00B848F4">
        <w:trPr>
          <w:jc w:val="center"/>
        </w:trPr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944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082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</w:tbl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35 педагогических работников </w:t>
      </w:r>
      <w:r w:rsidRPr="00984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организаций дополнительного образования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высшее образование 17 чел. (48,6%) (на уровне прошлого года), из них педагогическое – 10 чел. (28,6%), среднее профессиональное по программам подготовки специалистов среднего звена – 16 (45,7%), из них педагогическое – 11 чел. (31,4%), среднее профессиональное по программам подготовки квалифицированных рабочих – 2 (5,71%). 3 директора имеют высшее образование.</w:t>
      </w:r>
      <w:proofErr w:type="gram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2 заместителей, имеющих высшее образование, 1. </w:t>
      </w:r>
    </w:p>
    <w:p w:rsidR="00984189" w:rsidRPr="00984189" w:rsidRDefault="00984189" w:rsidP="00984189">
      <w:pPr>
        <w:keepNext/>
        <w:keepLine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: до 25 лет – 5,71%, 25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29 лет – 17,1%, 30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лет – 5,71%, 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39 лет – 5,71%, 40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44 лет – 11,4%, 45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49 лет – 5,71%, 50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54 лет – 20%, 55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59 лет – 20%, 60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64 лет – 2,86%, 65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более – 5,71%. Средний возраст педагогов – 44 г</w:t>
      </w:r>
      <w:r w:rsidR="00B848F4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4189" w:rsidRDefault="00984189" w:rsidP="00984189">
      <w:pPr>
        <w:keepNext/>
        <w:keepLines/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педагогов со стажем работы до 5 лет составляет 33,4%.</w:t>
      </w:r>
    </w:p>
    <w:p w:rsidR="00F073F2" w:rsidRPr="00984189" w:rsidRDefault="00F073F2" w:rsidP="00984189">
      <w:pPr>
        <w:keepNext/>
        <w:keepLines/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2976"/>
        <w:gridCol w:w="2905"/>
      </w:tblGrid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2976" w:type="dxa"/>
          </w:tcPr>
          <w:p w:rsidR="00984189" w:rsidRPr="00984189" w:rsidRDefault="00984189" w:rsidP="00F073F2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07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уч</w:t>
            </w:r>
            <w:r w:rsidR="00F07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05" w:type="dxa"/>
          </w:tcPr>
          <w:p w:rsidR="00984189" w:rsidRPr="00984189" w:rsidRDefault="00984189" w:rsidP="00F073F2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45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07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уч</w:t>
            </w:r>
            <w:r w:rsidR="00F07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F07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30,6%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8,33%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2,78%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2,78%</w:t>
            </w:r>
          </w:p>
        </w:tc>
      </w:tr>
      <w:tr w:rsidR="00984189" w:rsidRPr="00984189" w:rsidTr="00F073F2">
        <w:trPr>
          <w:jc w:val="center"/>
        </w:trPr>
        <w:tc>
          <w:tcPr>
            <w:tcW w:w="3049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976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47,2%</w:t>
            </w:r>
          </w:p>
        </w:tc>
        <w:tc>
          <w:tcPr>
            <w:tcW w:w="2905" w:type="dxa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47,2%</w:t>
            </w:r>
          </w:p>
        </w:tc>
      </w:tr>
    </w:tbl>
    <w:p w:rsidR="00984189" w:rsidRPr="00984189" w:rsidRDefault="00984189" w:rsidP="00984189">
      <w:pPr>
        <w:keepNext/>
        <w:keepLines/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3433" w:rsidRPr="001D3433" w:rsidRDefault="00984189" w:rsidP="001D3433">
      <w:pPr>
        <w:keepNext/>
        <w:keepLines/>
        <w:spacing w:after="0" w:line="0" w:lineRule="atLeast"/>
        <w:ind w:left="-6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2019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2020 учебного года установлена первая квалификационная категория  34 педагогам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(в 2018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2019 учебном году - 33),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высшая – 6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(в 2018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7B94">
        <w:rPr>
          <w:rFonts w:ascii="Times New Roman" w:eastAsia="Calibri" w:hAnsi="Times New Roman" w:cs="Times New Roman"/>
          <w:sz w:val="24"/>
          <w:szCs w:val="24"/>
          <w:lang w:eastAsia="en-US"/>
        </w:rPr>
        <w:t>2019 учебном году -  10).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Всего прошли аттестацию  40 педагогов</w:t>
      </w:r>
      <w:r w:rsidRPr="0098418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84189" w:rsidRPr="00984189" w:rsidRDefault="00984189" w:rsidP="00984189">
      <w:pPr>
        <w:keepNext/>
        <w:keepLines/>
        <w:spacing w:after="0" w:line="0" w:lineRule="atLeast"/>
        <w:ind w:left="-6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течение 2019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45F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2020 учебного года МКУ «Центр образования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Нукутского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обеспечено организационное и техническое сопровождение процедуры аттестации: приём и регистрация заявлений на аттестацию. Для педагогов, планирующих аттестацию, осуществляется информационно-методическое сопровождение: семинары для педагогов и руководителей (сопровождающих педагогов в </w:t>
      </w:r>
      <w:proofErr w:type="spellStart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межаттестационный</w:t>
      </w:r>
      <w:proofErr w:type="spellEnd"/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 в </w:t>
      </w:r>
      <w:r w:rsidR="00F073F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организациях</w:t>
      </w: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предусмотрены групповые и индивидуальные консультации по вопросам аттестации. За анализируемый период индивидуальными и групповыми консультациями охвачено порядка 80 руководителей и педагогов образовательных организаций района. </w:t>
      </w:r>
    </w:p>
    <w:p w:rsidR="00984189" w:rsidRPr="00984189" w:rsidRDefault="00984189" w:rsidP="00984189">
      <w:pPr>
        <w:keepNext/>
        <w:keepLines/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9">
        <w:rPr>
          <w:rFonts w:ascii="Times New Roman" w:hAnsi="Times New Roman" w:cs="Times New Roman"/>
          <w:sz w:val="24"/>
          <w:szCs w:val="24"/>
        </w:rPr>
        <w:t>Обеспечена возможность непрерывного и планомерного повышения квалификации педагогических работников</w:t>
      </w:r>
      <w:r w:rsidR="00F073F2">
        <w:rPr>
          <w:rFonts w:ascii="Times New Roman" w:hAnsi="Times New Roman" w:cs="Times New Roman"/>
          <w:sz w:val="24"/>
          <w:szCs w:val="24"/>
        </w:rPr>
        <w:t>.</w:t>
      </w:r>
    </w:p>
    <w:p w:rsidR="00984189" w:rsidRPr="00984189" w:rsidRDefault="00955B1F" w:rsidP="00984189">
      <w:pPr>
        <w:keepNext/>
        <w:keepLines/>
        <w:spacing w:after="0" w:line="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На различных курсах повышения квалификации с разными формами обучения повысили свлю квалификацию 340 (2017 – 2018 учебный год – 278 чел., 2018 – 2019 учебный год – 273 чел.) педагогических работника, из них 256 чел. – педагоги общеобразовательных организаций (2017 – 2018 учебный год – 195 чел., 2018 – 2019 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уч</w:t>
      </w:r>
      <w:r w:rsidR="00F073F2">
        <w:rPr>
          <w:rFonts w:ascii="Times New Roman" w:hAnsi="Times New Roman" w:cs="Times New Roman"/>
          <w:noProof/>
          <w:sz w:val="24"/>
          <w:szCs w:val="24"/>
        </w:rPr>
        <w:t>ебный год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– 183 чел.), 55 чел. –педагоги дошкольных организаций (2017-2018 уч</w:t>
      </w:r>
      <w:r w:rsidR="00885DAD">
        <w:rPr>
          <w:rFonts w:ascii="Times New Roman" w:hAnsi="Times New Roman" w:cs="Times New Roman"/>
          <w:noProof/>
          <w:sz w:val="24"/>
          <w:szCs w:val="24"/>
        </w:rPr>
        <w:t>ебный год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– 71 чел., 2018 </w:t>
      </w:r>
      <w:r w:rsidR="00885DAD">
        <w:rPr>
          <w:rFonts w:ascii="Times New Roman" w:hAnsi="Times New Roman" w:cs="Times New Roman"/>
          <w:noProof/>
          <w:sz w:val="24"/>
          <w:szCs w:val="24"/>
        </w:rPr>
        <w:t>-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2019 уч</w:t>
      </w:r>
      <w:r w:rsidR="00885DAD">
        <w:rPr>
          <w:rFonts w:ascii="Times New Roman" w:hAnsi="Times New Roman" w:cs="Times New Roman"/>
          <w:noProof/>
          <w:sz w:val="24"/>
          <w:szCs w:val="24"/>
        </w:rPr>
        <w:t>ебный год</w:t>
      </w:r>
      <w:proofErr w:type="gramEnd"/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proofErr w:type="gramStart"/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70 чел.), 29 чел. – педагоги Д</w:t>
      </w:r>
      <w:r w:rsidR="00885DAD">
        <w:rPr>
          <w:rFonts w:ascii="Times New Roman" w:hAnsi="Times New Roman" w:cs="Times New Roman"/>
          <w:noProof/>
          <w:sz w:val="24"/>
          <w:szCs w:val="24"/>
        </w:rPr>
        <w:t>етско-юношеского центра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и Д</w:t>
      </w:r>
      <w:r w:rsidR="00885DAD">
        <w:rPr>
          <w:rFonts w:ascii="Times New Roman" w:hAnsi="Times New Roman" w:cs="Times New Roman"/>
          <w:noProof/>
          <w:sz w:val="24"/>
          <w:szCs w:val="24"/>
        </w:rPr>
        <w:t>етско-юношеской спортивной школы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(2017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2018 уч</w:t>
      </w:r>
      <w:r w:rsidR="00885DAD">
        <w:rPr>
          <w:rFonts w:ascii="Times New Roman" w:hAnsi="Times New Roman" w:cs="Times New Roman"/>
          <w:noProof/>
          <w:sz w:val="24"/>
          <w:szCs w:val="24"/>
        </w:rPr>
        <w:t>ебный год -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12 чел.</w:t>
      </w:r>
      <w:proofErr w:type="gramEnd"/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, 2018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>-2019 уч</w:t>
      </w:r>
      <w:r w:rsidR="00885DAD">
        <w:rPr>
          <w:rFonts w:ascii="Times New Roman" w:hAnsi="Times New Roman" w:cs="Times New Roman"/>
          <w:noProof/>
          <w:sz w:val="24"/>
          <w:szCs w:val="24"/>
        </w:rPr>
        <w:t>ебный год -</w:t>
      </w:r>
      <w:r w:rsidR="00984189" w:rsidRPr="00984189">
        <w:rPr>
          <w:rFonts w:ascii="Times New Roman" w:hAnsi="Times New Roman" w:cs="Times New Roman"/>
          <w:noProof/>
          <w:sz w:val="24"/>
          <w:szCs w:val="24"/>
        </w:rPr>
        <w:t xml:space="preserve"> 20 чел.).</w:t>
      </w:r>
    </w:p>
    <w:p w:rsidR="00984189" w:rsidRPr="00984189" w:rsidRDefault="00984189" w:rsidP="00984189">
      <w:pPr>
        <w:keepNext/>
        <w:keepLines/>
        <w:spacing w:after="0" w:line="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4189">
        <w:rPr>
          <w:rFonts w:ascii="Times New Roman" w:hAnsi="Times New Roman" w:cs="Times New Roman"/>
          <w:noProof/>
          <w:sz w:val="24"/>
          <w:szCs w:val="24"/>
        </w:rPr>
        <w:t>Профессиональную переподготовку прошли 21 педагог по следующим направлениям: библиотечно-педагогическая деятельность, география, биология, математика, физика, информатика, музыка, менеджмент и экономика в образовании и др.</w:t>
      </w:r>
    </w:p>
    <w:p w:rsidR="00984189" w:rsidRPr="00984189" w:rsidRDefault="00984189" w:rsidP="00984189">
      <w:pPr>
        <w:pStyle w:val="a3"/>
        <w:keepNext/>
        <w:keepLines/>
        <w:widowControl/>
        <w:tabs>
          <w:tab w:val="left" w:pos="567"/>
        </w:tabs>
        <w:adjustRightInd/>
        <w:spacing w:line="0" w:lineRule="atLeast"/>
        <w:jc w:val="left"/>
      </w:pPr>
      <w:r w:rsidRPr="00984189">
        <w:tab/>
        <w:t>На 1 сентября 2020 году имеются вакансии по образовательным организациям:</w:t>
      </w:r>
    </w:p>
    <w:p w:rsidR="00984189" w:rsidRPr="00984189" w:rsidRDefault="00984189" w:rsidP="00984189">
      <w:pPr>
        <w:pStyle w:val="a3"/>
        <w:keepNext/>
        <w:keepLines/>
        <w:widowControl/>
        <w:tabs>
          <w:tab w:val="left" w:pos="567"/>
        </w:tabs>
        <w:adjustRightInd/>
        <w:spacing w:line="0" w:lineRule="atLeas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1410"/>
        <w:gridCol w:w="7"/>
        <w:gridCol w:w="1417"/>
        <w:gridCol w:w="3715"/>
      </w:tblGrid>
      <w:tr w:rsidR="00984189" w:rsidRPr="00984189" w:rsidTr="001D3433">
        <w:trPr>
          <w:jc w:val="center"/>
        </w:trPr>
        <w:tc>
          <w:tcPr>
            <w:tcW w:w="3114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Вакансии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984189" w:rsidRPr="00984189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885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</w:tr>
      <w:tr w:rsidR="00984189" w:rsidRPr="00984189" w:rsidTr="001D3433">
        <w:trPr>
          <w:jc w:val="center"/>
        </w:trPr>
        <w:tc>
          <w:tcPr>
            <w:tcW w:w="3114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85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Первомайская СОШ </w:t>
            </w:r>
          </w:p>
        </w:tc>
      </w:tr>
      <w:tr w:rsidR="00984189" w:rsidRPr="00984189" w:rsidTr="001D3433">
        <w:trPr>
          <w:jc w:val="center"/>
        </w:trPr>
        <w:tc>
          <w:tcPr>
            <w:tcW w:w="3114" w:type="dxa"/>
            <w:shd w:val="clear" w:color="auto" w:fill="auto"/>
          </w:tcPr>
          <w:p w:rsidR="00984189" w:rsidRPr="00984189" w:rsidRDefault="00984189" w:rsidP="004B041C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</w:t>
            </w:r>
            <w:r w:rsidR="004B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олнительного </w:t>
            </w: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410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  <w:tr w:rsidR="00984189" w:rsidRPr="00984189" w:rsidTr="001D3433">
        <w:trPr>
          <w:jc w:val="center"/>
        </w:trPr>
        <w:tc>
          <w:tcPr>
            <w:tcW w:w="3114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410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  <w:tr w:rsidR="00984189" w:rsidRPr="00984189" w:rsidTr="001D3433">
        <w:trPr>
          <w:jc w:val="center"/>
        </w:trPr>
        <w:tc>
          <w:tcPr>
            <w:tcW w:w="3114" w:type="dxa"/>
            <w:shd w:val="clear" w:color="auto" w:fill="auto"/>
          </w:tcPr>
          <w:p w:rsidR="00984189" w:rsidRPr="00984189" w:rsidRDefault="00984189" w:rsidP="00847B94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1410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984189" w:rsidRPr="00984189" w:rsidRDefault="00984189" w:rsidP="00984189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98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</w:tbl>
    <w:p w:rsidR="00984189" w:rsidRPr="00984189" w:rsidRDefault="00984189" w:rsidP="00984189">
      <w:pPr>
        <w:keepNext/>
        <w:keepLines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189" w:rsidRPr="00984189" w:rsidRDefault="00984189" w:rsidP="00716196">
      <w:pPr>
        <w:keepNext/>
        <w:keepLines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189">
        <w:rPr>
          <w:rFonts w:ascii="Times New Roman" w:hAnsi="Times New Roman" w:cs="Times New Roman"/>
          <w:sz w:val="24"/>
          <w:szCs w:val="24"/>
        </w:rPr>
        <w:t xml:space="preserve">По федеральной программе </w:t>
      </w:r>
      <w:r w:rsidRPr="00984189">
        <w:rPr>
          <w:rFonts w:ascii="Times New Roman" w:hAnsi="Times New Roman" w:cs="Times New Roman"/>
          <w:b/>
          <w:sz w:val="24"/>
          <w:szCs w:val="24"/>
        </w:rPr>
        <w:t>«Земский учитель</w:t>
      </w:r>
      <w:r w:rsidRPr="00984189">
        <w:rPr>
          <w:rFonts w:ascii="Times New Roman" w:hAnsi="Times New Roman" w:cs="Times New Roman"/>
          <w:sz w:val="24"/>
          <w:szCs w:val="24"/>
        </w:rPr>
        <w:t xml:space="preserve">» с нового учебного года приступают к работе 4 учителя: </w:t>
      </w:r>
      <w:r w:rsidR="00716196">
        <w:rPr>
          <w:rFonts w:ascii="Times New Roman" w:hAnsi="Times New Roman" w:cs="Times New Roman"/>
          <w:sz w:val="24"/>
          <w:szCs w:val="24"/>
        </w:rPr>
        <w:t xml:space="preserve">в </w:t>
      </w:r>
      <w:r w:rsidRPr="0098418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СОШ учитель математики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Чагдурова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Виктория Александровна, учитель технологии Ефимова Клавдия Викторовна</w:t>
      </w:r>
      <w:r w:rsidR="00716196">
        <w:rPr>
          <w:rFonts w:ascii="Times New Roman" w:hAnsi="Times New Roman" w:cs="Times New Roman"/>
          <w:sz w:val="24"/>
          <w:szCs w:val="24"/>
        </w:rPr>
        <w:t>; в</w:t>
      </w:r>
      <w:r w:rsidRPr="00984189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СОШ учитель русского языка и литературы Митяева Елена Юрьевна</w:t>
      </w:r>
      <w:r w:rsidR="00716196">
        <w:rPr>
          <w:rFonts w:ascii="Times New Roman" w:hAnsi="Times New Roman" w:cs="Times New Roman"/>
          <w:sz w:val="24"/>
          <w:szCs w:val="24"/>
        </w:rPr>
        <w:t>; в</w:t>
      </w:r>
      <w:r w:rsidRPr="00984189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ООШ учитель начальных классов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984189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984189">
        <w:rPr>
          <w:rFonts w:ascii="Times New Roman" w:hAnsi="Times New Roman" w:cs="Times New Roman"/>
          <w:sz w:val="24"/>
          <w:szCs w:val="24"/>
        </w:rPr>
        <w:t>Сайн-ооловна</w:t>
      </w:r>
      <w:proofErr w:type="spellEnd"/>
      <w:r w:rsidR="00716196">
        <w:rPr>
          <w:rFonts w:ascii="Times New Roman" w:hAnsi="Times New Roman" w:cs="Times New Roman"/>
          <w:sz w:val="24"/>
          <w:szCs w:val="24"/>
        </w:rPr>
        <w:t>.</w:t>
      </w:r>
    </w:p>
    <w:p w:rsidR="00984189" w:rsidRPr="00984189" w:rsidRDefault="00984189" w:rsidP="00716196">
      <w:pPr>
        <w:keepNext/>
        <w:keepLines/>
        <w:spacing w:after="0" w:line="0" w:lineRule="atLeast"/>
        <w:ind w:left="-567" w:firstLine="9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4189">
        <w:rPr>
          <w:rFonts w:ascii="Times New Roman" w:eastAsia="Calibri" w:hAnsi="Times New Roman" w:cs="Times New Roman"/>
          <w:sz w:val="24"/>
          <w:szCs w:val="24"/>
          <w:lang w:eastAsia="en-US"/>
        </w:rPr>
        <w:t>Прибыли в образовательные организации района молодые специалисты</w:t>
      </w:r>
      <w:r w:rsidR="0071619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84189" w:rsidRPr="00984189" w:rsidRDefault="00984189" w:rsidP="00716196">
      <w:pPr>
        <w:keepNext/>
        <w:keepLines/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Сокольникова Валерия Владимировна – выпускник Иркутского регионального колледжа педагогического образования, учитель начальных классов </w:t>
      </w: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Новонукутской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984189" w:rsidRPr="00984189" w:rsidRDefault="00984189" w:rsidP="00716196">
      <w:pPr>
        <w:keepNext/>
        <w:keepLines/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Цырендоржиева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Татьяна </w:t>
      </w: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Солбоновна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– выпускник Бурятского государственного университета, учитель КРО </w:t>
      </w: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Новонукутской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984189" w:rsidRPr="00984189" w:rsidRDefault="00984189" w:rsidP="00984189">
      <w:pPr>
        <w:keepNext/>
        <w:keepLines/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Табанакова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Ксения Алексеевна – выпускник Иркутского государственного университета, педагог-психолог </w:t>
      </w: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Харетской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984189" w:rsidRPr="00984189" w:rsidRDefault="00984189" w:rsidP="00984189">
      <w:pPr>
        <w:keepNext/>
        <w:keepLines/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Николаева Мария Петровна - выпускник Иркутского регионального колледжа педагогического образования, учитель начальных классов </w:t>
      </w:r>
      <w:proofErr w:type="spellStart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>Харетской</w:t>
      </w:r>
      <w:proofErr w:type="spellEnd"/>
      <w:r w:rsidRPr="00984189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</w:t>
      </w:r>
      <w:r w:rsidR="00716196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984189" w:rsidRPr="00984189" w:rsidRDefault="00716196" w:rsidP="001D3433">
      <w:pPr>
        <w:pStyle w:val="a5"/>
        <w:keepNext/>
        <w:keepLines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ц</w:t>
      </w:r>
      <w:r w:rsidR="00984189" w:rsidRPr="00984189">
        <w:rPr>
          <w:rFonts w:ascii="Times New Roman" w:hAnsi="Times New Roman"/>
          <w:sz w:val="24"/>
          <w:szCs w:val="24"/>
        </w:rPr>
        <w:t xml:space="preserve">елью оказания помощи молодым педагогам в профессиональном становлении </w:t>
      </w:r>
      <w:proofErr w:type="gramStart"/>
      <w:r w:rsidR="00984189" w:rsidRPr="00984189">
        <w:rPr>
          <w:rFonts w:ascii="Times New Roman" w:hAnsi="Times New Roman"/>
          <w:sz w:val="24"/>
          <w:szCs w:val="24"/>
        </w:rPr>
        <w:t>согласно план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984189" w:rsidRPr="00984189">
        <w:rPr>
          <w:rFonts w:ascii="Times New Roman" w:hAnsi="Times New Roman"/>
          <w:sz w:val="24"/>
          <w:szCs w:val="24"/>
        </w:rPr>
        <w:t xml:space="preserve"> работы ежегодно в декабре проводится Неделя молодых специалистов.  Проведены муниципальные конкурсы профессионального мастерства молодых специалистов «Новая волна», заочный конкурс среди молодых руководителей «Дебют». Заместитель директора по </w:t>
      </w:r>
      <w:r>
        <w:rPr>
          <w:rFonts w:ascii="Times New Roman" w:hAnsi="Times New Roman"/>
          <w:sz w:val="24"/>
          <w:szCs w:val="24"/>
        </w:rPr>
        <w:t>учебной работе</w:t>
      </w:r>
      <w:r w:rsidR="00984189" w:rsidRPr="00984189">
        <w:rPr>
          <w:rFonts w:ascii="Times New Roman" w:hAnsi="Times New Roman"/>
          <w:sz w:val="24"/>
          <w:szCs w:val="24"/>
        </w:rPr>
        <w:t xml:space="preserve"> Первомайской </w:t>
      </w:r>
      <w:r>
        <w:rPr>
          <w:rFonts w:ascii="Times New Roman" w:hAnsi="Times New Roman"/>
          <w:sz w:val="24"/>
          <w:szCs w:val="24"/>
        </w:rPr>
        <w:t>средней общеобразовательной школы</w:t>
      </w:r>
      <w:r w:rsidR="00984189" w:rsidRPr="00984189">
        <w:rPr>
          <w:rFonts w:ascii="Times New Roman" w:hAnsi="Times New Roman"/>
          <w:sz w:val="24"/>
          <w:szCs w:val="24"/>
        </w:rPr>
        <w:t xml:space="preserve"> Савушкина Лариса Анатольевна </w:t>
      </w:r>
      <w:proofErr w:type="gramStart"/>
      <w:r w:rsidR="00984189" w:rsidRPr="00984189">
        <w:rPr>
          <w:rFonts w:ascii="Times New Roman" w:hAnsi="Times New Roman"/>
          <w:sz w:val="24"/>
          <w:szCs w:val="24"/>
        </w:rPr>
        <w:t>прошла отборочный тур и осенью в рамках Международного Байкальского салона образования будет принимать</w:t>
      </w:r>
      <w:proofErr w:type="gramEnd"/>
      <w:r w:rsidR="00984189" w:rsidRPr="00984189">
        <w:rPr>
          <w:rFonts w:ascii="Times New Roman" w:hAnsi="Times New Roman"/>
          <w:sz w:val="24"/>
          <w:szCs w:val="24"/>
        </w:rPr>
        <w:t xml:space="preserve"> участие на заключительном этапе регионального конкурса молодых руководителей.</w:t>
      </w:r>
    </w:p>
    <w:p w:rsidR="00984189" w:rsidRPr="00984189" w:rsidRDefault="00984189" w:rsidP="00984189">
      <w:pPr>
        <w:pStyle w:val="a5"/>
        <w:keepNext/>
        <w:keepLines/>
        <w:spacing w:after="0" w:line="0" w:lineRule="atLeast"/>
        <w:ind w:firstLine="696"/>
        <w:jc w:val="center"/>
        <w:rPr>
          <w:rFonts w:ascii="Times New Roman" w:hAnsi="Times New Roman"/>
          <w:sz w:val="24"/>
          <w:szCs w:val="24"/>
        </w:rPr>
      </w:pPr>
    </w:p>
    <w:p w:rsidR="00984189" w:rsidRPr="00984189" w:rsidRDefault="00984189" w:rsidP="00984189">
      <w:pPr>
        <w:pStyle w:val="a5"/>
        <w:keepNext/>
        <w:keepLines/>
        <w:spacing w:after="0" w:line="0" w:lineRule="atLeast"/>
        <w:ind w:firstLine="696"/>
        <w:jc w:val="center"/>
        <w:rPr>
          <w:rFonts w:ascii="Times New Roman" w:hAnsi="Times New Roman"/>
          <w:sz w:val="24"/>
          <w:szCs w:val="24"/>
        </w:rPr>
      </w:pPr>
    </w:p>
    <w:p w:rsidR="00984189" w:rsidRDefault="00984189" w:rsidP="00716196">
      <w:pPr>
        <w:pStyle w:val="a5"/>
        <w:keepNext/>
        <w:keepLines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984189">
        <w:rPr>
          <w:rFonts w:ascii="Times New Roman" w:hAnsi="Times New Roman"/>
          <w:sz w:val="24"/>
          <w:szCs w:val="24"/>
        </w:rPr>
        <w:t>Директор</w:t>
      </w:r>
      <w:r w:rsidR="00716196">
        <w:rPr>
          <w:rFonts w:ascii="Times New Roman" w:hAnsi="Times New Roman"/>
          <w:sz w:val="24"/>
          <w:szCs w:val="24"/>
        </w:rPr>
        <w:t xml:space="preserve"> МКУ «Центр образования</w:t>
      </w:r>
    </w:p>
    <w:p w:rsidR="00087F52" w:rsidRDefault="00716196" w:rsidP="00716196">
      <w:pPr>
        <w:pStyle w:val="a5"/>
        <w:keepNext/>
        <w:keepLines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А.П.Тапхарова</w:t>
      </w:r>
      <w:proofErr w:type="spellEnd"/>
    </w:p>
    <w:sectPr w:rsidR="00087F52" w:rsidSect="00E45F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33" w:rsidRDefault="001D3433" w:rsidP="00C92CAF">
      <w:pPr>
        <w:spacing w:after="0" w:line="240" w:lineRule="auto"/>
      </w:pPr>
      <w:r>
        <w:separator/>
      </w:r>
    </w:p>
  </w:endnote>
  <w:endnote w:type="continuationSeparator" w:id="1">
    <w:p w:rsidR="001D3433" w:rsidRDefault="001D3433" w:rsidP="00C9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33" w:rsidRDefault="001D3433" w:rsidP="00C92CAF">
      <w:pPr>
        <w:spacing w:after="0" w:line="240" w:lineRule="auto"/>
      </w:pPr>
      <w:r>
        <w:separator/>
      </w:r>
    </w:p>
  </w:footnote>
  <w:footnote w:type="continuationSeparator" w:id="1">
    <w:p w:rsidR="001D3433" w:rsidRDefault="001D3433" w:rsidP="00C9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2C"/>
    <w:multiLevelType w:val="hybridMultilevel"/>
    <w:tmpl w:val="C1543B1C"/>
    <w:lvl w:ilvl="0" w:tplc="1B1ED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CA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0B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D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3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4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0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0A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2AC"/>
    <w:rsid w:val="0000465E"/>
    <w:rsid w:val="00087F52"/>
    <w:rsid w:val="000E164E"/>
    <w:rsid w:val="001D3433"/>
    <w:rsid w:val="00330035"/>
    <w:rsid w:val="004B041C"/>
    <w:rsid w:val="00636BA1"/>
    <w:rsid w:val="00704E7E"/>
    <w:rsid w:val="00716196"/>
    <w:rsid w:val="00847B94"/>
    <w:rsid w:val="00885DAD"/>
    <w:rsid w:val="008F0A38"/>
    <w:rsid w:val="00955B1F"/>
    <w:rsid w:val="00963A0A"/>
    <w:rsid w:val="00984189"/>
    <w:rsid w:val="00B57621"/>
    <w:rsid w:val="00B848F4"/>
    <w:rsid w:val="00C92CAF"/>
    <w:rsid w:val="00D0283C"/>
    <w:rsid w:val="00E41BA5"/>
    <w:rsid w:val="00E45FC4"/>
    <w:rsid w:val="00F073F2"/>
    <w:rsid w:val="00F3349E"/>
    <w:rsid w:val="00F4451A"/>
    <w:rsid w:val="00F8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2A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80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2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9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CAF"/>
  </w:style>
  <w:style w:type="paragraph" w:styleId="a8">
    <w:name w:val="footer"/>
    <w:basedOn w:val="a"/>
    <w:link w:val="a9"/>
    <w:uiPriority w:val="99"/>
    <w:unhideWhenUsed/>
    <w:rsid w:val="00C9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8A3B-E648-413B-ABBE-DA746BB8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16</cp:revision>
  <dcterms:created xsi:type="dcterms:W3CDTF">2020-09-18T04:06:00Z</dcterms:created>
  <dcterms:modified xsi:type="dcterms:W3CDTF">2020-09-29T04:38:00Z</dcterms:modified>
</cp:coreProperties>
</file>